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843B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864EFD" w:rsidRPr="00864EFD">
        <w:rPr>
          <w:b/>
          <w:szCs w:val="28"/>
        </w:rPr>
        <w:t>59:16:1700102:5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64EFD" w:rsidRPr="00864EFD">
        <w:rPr>
          <w:szCs w:val="28"/>
        </w:rPr>
        <w:t>59:16:1700102:5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864EFD">
        <w:rPr>
          <w:szCs w:val="28"/>
        </w:rPr>
        <w:t>Роот Владимир Андреевич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864EFD">
        <w:rPr>
          <w:bCs/>
          <w:szCs w:val="28"/>
        </w:rPr>
        <w:t>Роот Владимира Андреевича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864EFD">
        <w:rPr>
          <w:szCs w:val="28"/>
        </w:rPr>
        <w:t>301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64EFD">
        <w:rPr>
          <w:szCs w:val="28"/>
        </w:rPr>
        <w:t>Роот Владимир Андреевич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64EFD">
        <w:rPr>
          <w:szCs w:val="28"/>
        </w:rPr>
        <w:t>Роот Владимиром Андреевичем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B4610">
        <w:rPr>
          <w:szCs w:val="28"/>
        </w:rPr>
        <w:t>Роот Владимира Андреевича</w:t>
      </w:r>
      <w:bookmarkStart w:id="0" w:name="_GoBack"/>
      <w:bookmarkEnd w:id="0"/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864EFD" w:rsidRPr="00864EFD">
        <w:rPr>
          <w:szCs w:val="28"/>
        </w:rPr>
        <w:t>59:16:1700102:5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B9" w:rsidRDefault="00F843B9">
      <w:r>
        <w:separator/>
      </w:r>
    </w:p>
  </w:endnote>
  <w:endnote w:type="continuationSeparator" w:id="0">
    <w:p w:rsidR="00F843B9" w:rsidRDefault="00F8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B9" w:rsidRDefault="00F843B9">
      <w:r>
        <w:separator/>
      </w:r>
    </w:p>
  </w:footnote>
  <w:footnote w:type="continuationSeparator" w:id="0">
    <w:p w:rsidR="00F843B9" w:rsidRDefault="00F8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B461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D490B"/>
    <w:rsid w:val="00EE613B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7DA94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8DCA-895E-455C-AC91-9C3D5D59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2022-04-27T09:40:00Z</cp:lastPrinted>
  <dcterms:created xsi:type="dcterms:W3CDTF">2022-10-21T05:44:00Z</dcterms:created>
  <dcterms:modified xsi:type="dcterms:W3CDTF">2022-10-21T05:48:00Z</dcterms:modified>
</cp:coreProperties>
</file>