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8" w:rsidRPr="00881652" w:rsidRDefault="00BA74B8" w:rsidP="008816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результатам оценки эффективности предоставляемых налоговых льгот по местным налогам на территории  МО «Зюкайское сельское поселение» Верещагинского района Пермского </w:t>
      </w:r>
      <w:r w:rsidRPr="00881652">
        <w:rPr>
          <w:rFonts w:ascii="Times New Roman" w:hAnsi="Times New Roman" w:cs="Times New Roman"/>
          <w:b/>
          <w:sz w:val="28"/>
          <w:szCs w:val="28"/>
        </w:rPr>
        <w:t>края за 2014 -2015 год</w:t>
      </w:r>
    </w:p>
    <w:p w:rsidR="00881652" w:rsidRDefault="00881652" w:rsidP="0088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МО «Зюкайское сельское поселение» </w:t>
      </w:r>
      <w:r w:rsidRPr="00881652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проведена оценка эффективности предоставленных </w:t>
      </w:r>
      <w:r>
        <w:rPr>
          <w:rFonts w:ascii="Times New Roman" w:hAnsi="Times New Roman" w:cs="Times New Roman"/>
          <w:sz w:val="28"/>
          <w:szCs w:val="28"/>
        </w:rPr>
        <w:t>льгот по местным налогам за 2015</w:t>
      </w:r>
      <w:r w:rsidRPr="00881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по состоянию на 01.01.2016</w:t>
      </w:r>
      <w:r w:rsidRPr="00881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Порядок проведения оценки эффективности представленных  налоговых льгот утвержден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 Верещагинского муниципального района Пермского края </w:t>
      </w:r>
      <w:r w:rsidRPr="00881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02.06.2017 №91</w:t>
      </w:r>
      <w:r w:rsidRPr="00881652">
        <w:rPr>
          <w:rFonts w:ascii="Times New Roman" w:hAnsi="Times New Roman" w:cs="Times New Roman"/>
          <w:sz w:val="28"/>
          <w:szCs w:val="28"/>
        </w:rPr>
        <w:t>.</w:t>
      </w:r>
    </w:p>
    <w:p w:rsidR="00881652" w:rsidRP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Оценка эффективности предоставляемых налоговых льгот по местным налогам осуществляется в разрезе следующих критериев:</w:t>
      </w:r>
    </w:p>
    <w:p w:rsidR="00881652" w:rsidRP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- бюджетная эффективность,</w:t>
      </w:r>
    </w:p>
    <w:p w:rsidR="00881652" w:rsidRP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- экономическая эффективность,</w:t>
      </w: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- социальная эффективность.</w:t>
      </w:r>
    </w:p>
    <w:p w:rsidR="00881652" w:rsidRP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 </w:t>
      </w:r>
      <w:r w:rsidRPr="00881652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881652" w:rsidRP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- 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 100 %</w:t>
      </w:r>
      <w:r w:rsidRPr="00881652">
        <w:rPr>
          <w:rFonts w:ascii="Times New Roman" w:hAnsi="Times New Roman" w:cs="Times New Roman"/>
          <w:sz w:val="28"/>
          <w:szCs w:val="28"/>
        </w:rPr>
        <w:t>,</w:t>
      </w: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2">
        <w:rPr>
          <w:rFonts w:ascii="Times New Roman" w:hAnsi="Times New Roman" w:cs="Times New Roman"/>
          <w:sz w:val="28"/>
          <w:szCs w:val="28"/>
        </w:rPr>
        <w:t>-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 100%</w:t>
      </w:r>
      <w:r w:rsidRPr="00881652">
        <w:rPr>
          <w:rFonts w:ascii="Times New Roman" w:hAnsi="Times New Roman" w:cs="Times New Roman"/>
          <w:sz w:val="28"/>
          <w:szCs w:val="28"/>
        </w:rPr>
        <w:t>.</w:t>
      </w: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 МО «Зюкайское сельское поселение» Верещагинского района Пермского края в отношении местных налогов приняты следующие нормативные правовые акты:</w:t>
      </w:r>
    </w:p>
    <w:p w:rsidR="00881652" w:rsidRPr="003D4F51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51">
        <w:rPr>
          <w:rFonts w:ascii="Times New Roman" w:hAnsi="Times New Roman" w:cs="Times New Roman"/>
          <w:sz w:val="28"/>
          <w:szCs w:val="28"/>
        </w:rPr>
        <w:t>1) решение Совета депутатов  МО «Зюкайское сельское поселение» Верещагинс</w:t>
      </w:r>
      <w:r w:rsidR="003D4F51">
        <w:rPr>
          <w:rFonts w:ascii="Times New Roman" w:hAnsi="Times New Roman" w:cs="Times New Roman"/>
          <w:sz w:val="28"/>
          <w:szCs w:val="28"/>
        </w:rPr>
        <w:t>кого района Пермского края от 20</w:t>
      </w:r>
      <w:r w:rsidRPr="003D4F51">
        <w:rPr>
          <w:rFonts w:ascii="Times New Roman" w:hAnsi="Times New Roman" w:cs="Times New Roman"/>
          <w:sz w:val="28"/>
          <w:szCs w:val="28"/>
        </w:rPr>
        <w:t>.11.</w:t>
      </w:r>
      <w:r w:rsidR="003D4F51">
        <w:rPr>
          <w:rFonts w:ascii="Times New Roman" w:hAnsi="Times New Roman" w:cs="Times New Roman"/>
          <w:sz w:val="28"/>
          <w:szCs w:val="28"/>
        </w:rPr>
        <w:t>2014 № 21/73</w:t>
      </w:r>
      <w:r w:rsidRPr="003D4F51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</w:t>
      </w:r>
      <w:r w:rsidR="00A8370C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 ( с изменениями и дополнениями )</w:t>
      </w:r>
      <w:r w:rsidRPr="003D4F51">
        <w:rPr>
          <w:rFonts w:ascii="Times New Roman" w:hAnsi="Times New Roman" w:cs="Times New Roman"/>
          <w:sz w:val="28"/>
          <w:szCs w:val="28"/>
        </w:rPr>
        <w:t>;</w:t>
      </w: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51">
        <w:rPr>
          <w:rFonts w:ascii="Times New Roman" w:hAnsi="Times New Roman" w:cs="Times New Roman"/>
          <w:sz w:val="28"/>
          <w:szCs w:val="28"/>
        </w:rPr>
        <w:t xml:space="preserve">2) решение Совета депутатов </w:t>
      </w:r>
      <w:r w:rsidR="00A8370C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 </w:t>
      </w:r>
      <w:r w:rsidRPr="003D4F51">
        <w:rPr>
          <w:rFonts w:ascii="Times New Roman" w:hAnsi="Times New Roman" w:cs="Times New Roman"/>
          <w:sz w:val="28"/>
          <w:szCs w:val="28"/>
        </w:rPr>
        <w:t>Верещагинс</w:t>
      </w:r>
      <w:r w:rsidR="00A8370C">
        <w:rPr>
          <w:rFonts w:ascii="Times New Roman" w:hAnsi="Times New Roman" w:cs="Times New Roman"/>
          <w:sz w:val="28"/>
          <w:szCs w:val="28"/>
        </w:rPr>
        <w:t>кого района Пермского края от 27.07</w:t>
      </w:r>
      <w:r w:rsidRPr="003D4F51">
        <w:rPr>
          <w:rFonts w:ascii="Times New Roman" w:hAnsi="Times New Roman" w:cs="Times New Roman"/>
          <w:sz w:val="28"/>
          <w:szCs w:val="28"/>
        </w:rPr>
        <w:t>.2015</w:t>
      </w:r>
      <w:r w:rsidR="00A8370C">
        <w:rPr>
          <w:rFonts w:ascii="Times New Roman" w:hAnsi="Times New Roman" w:cs="Times New Roman"/>
          <w:sz w:val="28"/>
          <w:szCs w:val="28"/>
        </w:rPr>
        <w:t xml:space="preserve"> № 33/117</w:t>
      </w:r>
      <w:r w:rsidRPr="003D4F5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</w:t>
      </w:r>
      <w:r w:rsidR="00A8370C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 (с изменениями и дополнениями</w:t>
      </w:r>
      <w:r w:rsidRPr="003D4F51">
        <w:rPr>
          <w:rFonts w:ascii="Times New Roman" w:hAnsi="Times New Roman" w:cs="Times New Roman"/>
          <w:sz w:val="28"/>
          <w:szCs w:val="28"/>
        </w:rPr>
        <w:t>).</w:t>
      </w:r>
    </w:p>
    <w:p w:rsid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оценка эффективности предоставляемых налоговых льгот по</w:t>
      </w:r>
      <w:r w:rsidR="00625145">
        <w:rPr>
          <w:rFonts w:ascii="Times New Roman" w:hAnsi="Times New Roman" w:cs="Times New Roman"/>
          <w:sz w:val="28"/>
          <w:szCs w:val="28"/>
        </w:rPr>
        <w:t xml:space="preserve"> местным налогам проведена в два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25F22" w:rsidRPr="00125F22" w:rsidRDefault="00125F22" w:rsidP="00125F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22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предоставляемых налоговых льгот и снижения ставок  по местным налогам</w:t>
      </w:r>
    </w:p>
    <w:p w:rsidR="00125F22" w:rsidRPr="00125F22" w:rsidRDefault="00125F22" w:rsidP="00125F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98" w:rsidRDefault="00125F22" w:rsidP="005141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14198">
        <w:rPr>
          <w:sz w:val="28"/>
          <w:szCs w:val="28"/>
        </w:rPr>
        <w:t>В целях определения целесообразности потерь бюджета сельского поселения, в соответствии с пунктом 4 Приложения 2 «Порядка оценки эффективности налоговых льгот</w:t>
      </w:r>
      <w:r w:rsidR="00514198" w:rsidRPr="00514198">
        <w:rPr>
          <w:sz w:val="28"/>
          <w:szCs w:val="28"/>
        </w:rPr>
        <w:t xml:space="preserve"> по местным налогам </w:t>
      </w:r>
      <w:r w:rsidRPr="00514198">
        <w:rPr>
          <w:sz w:val="28"/>
          <w:szCs w:val="28"/>
        </w:rPr>
        <w:t xml:space="preserve">» к Постановлению, оценка эффективности предоставляемых льгот и снижение ставок по налогам и сборам в местный бюджет проведена в три этапа. </w:t>
      </w:r>
      <w:r w:rsidR="00514198" w:rsidRPr="00514198">
        <w:rPr>
          <w:sz w:val="28"/>
          <w:szCs w:val="28"/>
        </w:rPr>
        <w:t xml:space="preserve"> </w:t>
      </w:r>
    </w:p>
    <w:p w:rsidR="00514198" w:rsidRPr="00514198" w:rsidRDefault="00514198" w:rsidP="005141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14198">
        <w:rPr>
          <w:sz w:val="28"/>
          <w:szCs w:val="28"/>
        </w:rPr>
        <w:t>Основными источниками информации для расчета оценки эффективности налоговых льгот служат данные администратора нал</w:t>
      </w:r>
      <w:r>
        <w:rPr>
          <w:sz w:val="28"/>
          <w:szCs w:val="28"/>
        </w:rPr>
        <w:t>оговых доходов ФНС России по Пермскому краю (форма 5-МН) и данные  размещенные в ПО АИН МО</w:t>
      </w:r>
      <w:r w:rsidRPr="00514198">
        <w:rPr>
          <w:sz w:val="28"/>
          <w:szCs w:val="28"/>
        </w:rPr>
        <w:t xml:space="preserve">. </w:t>
      </w:r>
    </w:p>
    <w:p w:rsidR="00125F22" w:rsidRPr="00125F22" w:rsidRDefault="00125F22" w:rsidP="00514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F22" w:rsidRDefault="00125F2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22" w:rsidRPr="00125F22" w:rsidRDefault="00125F22" w:rsidP="00125F2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25F22"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 w:rsidR="00125F22" w:rsidRPr="00125F22" w:rsidRDefault="00125F22" w:rsidP="00125F22">
      <w:pPr>
        <w:pStyle w:val="a3"/>
        <w:spacing w:before="0" w:beforeAutospacing="0" w:after="0" w:afterAutospacing="0"/>
        <w:ind w:left="927"/>
        <w:jc w:val="both"/>
        <w:rPr>
          <w:b/>
          <w:i/>
          <w:color w:val="000000"/>
        </w:rPr>
      </w:pPr>
    </w:p>
    <w:p w:rsidR="00125F22" w:rsidRPr="00125F22" w:rsidRDefault="00125F22" w:rsidP="00125F2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5F22">
        <w:rPr>
          <w:rFonts w:ascii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</w:p>
    <w:p w:rsidR="00125F22" w:rsidRDefault="00125F22" w:rsidP="00C23A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5F22" w:rsidRDefault="00125F22" w:rsidP="00C23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22">
        <w:rPr>
          <w:rFonts w:ascii="Times New Roman" w:hAnsi="Times New Roman" w:cs="Times New Roman"/>
          <w:sz w:val="28"/>
          <w:szCs w:val="28"/>
        </w:rPr>
        <w:t>Поступления по налогу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 в 2015</w:t>
      </w:r>
      <w:r w:rsidR="00514198">
        <w:rPr>
          <w:rFonts w:ascii="Times New Roman" w:hAnsi="Times New Roman" w:cs="Times New Roman"/>
          <w:sz w:val="28"/>
          <w:szCs w:val="28"/>
        </w:rPr>
        <w:t xml:space="preserve"> году в бюджет МО  «Зюкайское сельское поселение» составили 329,9</w:t>
      </w:r>
      <w:r w:rsidRPr="00125F22">
        <w:rPr>
          <w:rFonts w:ascii="Times New Roman" w:hAnsi="Times New Roman" w:cs="Times New Roman"/>
          <w:sz w:val="28"/>
          <w:szCs w:val="28"/>
        </w:rPr>
        <w:t xml:space="preserve"> ты</w:t>
      </w:r>
      <w:r w:rsidR="00C23A84">
        <w:rPr>
          <w:rFonts w:ascii="Times New Roman" w:hAnsi="Times New Roman" w:cs="Times New Roman"/>
          <w:sz w:val="28"/>
          <w:szCs w:val="28"/>
        </w:rPr>
        <w:t>с. рублей, что соответствует 4,3</w:t>
      </w:r>
      <w:r w:rsidRPr="00125F22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доходов. </w:t>
      </w:r>
    </w:p>
    <w:p w:rsidR="00C23A84" w:rsidRDefault="00C23A84" w:rsidP="00C23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8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МО «Зюкайское сельское поселение» от 20.11.2014 №21/73 « Об установлении  на территории муниципального образования «Зюкайское сельское поселение» 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на территории поселения применяются следующие ставки: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2102"/>
        <w:gridCol w:w="2717"/>
      </w:tblGrid>
      <w:tr w:rsidR="00C23A84" w:rsidRPr="00C23A84" w:rsidTr="00C23A84">
        <w:trPr>
          <w:trHeight w:val="5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C23A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Ставка налога</w:t>
            </w:r>
          </w:p>
        </w:tc>
      </w:tr>
      <w:tr w:rsidR="00C23A84" w:rsidRPr="00C23A84" w:rsidTr="00C23A84">
        <w:trPr>
          <w:trHeight w:val="55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A84" w:rsidRPr="00C23A84" w:rsidRDefault="00C23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дом, жилое помещение (квартира, комната), гараж, машина-место, единый недвижимый комплекс, объект незавершенного строительства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объекты, не включенные в графу 2</w:t>
            </w:r>
          </w:p>
        </w:tc>
      </w:tr>
      <w:tr w:rsidR="00C23A84" w:rsidRPr="00C23A84" w:rsidTr="00C23A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23A84" w:rsidRPr="00C23A84" w:rsidTr="00C23A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До 300 000 рублей включительно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0,1 %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0,1 % </w:t>
            </w:r>
          </w:p>
        </w:tc>
      </w:tr>
      <w:tr w:rsidR="00C23A84" w:rsidRPr="00C23A84" w:rsidTr="00C23A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Свыше 300 000 до 500 000 рублей включительно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0,15 %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0,15 %</w:t>
            </w:r>
          </w:p>
        </w:tc>
      </w:tr>
      <w:tr w:rsidR="00C23A84" w:rsidRPr="00C23A84" w:rsidTr="00C23A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Свыше 500 000 рублей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0,31 %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4" w:rsidRPr="00C23A84" w:rsidRDefault="00C23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A84">
              <w:rPr>
                <w:rFonts w:ascii="Times New Roman" w:eastAsia="Calibri" w:hAnsi="Times New Roman" w:cs="Times New Roman"/>
                <w:sz w:val="20"/>
                <w:szCs w:val="20"/>
              </w:rPr>
              <w:t>0,5 %</w:t>
            </w:r>
          </w:p>
        </w:tc>
      </w:tr>
    </w:tbl>
    <w:p w:rsidR="00C23A84" w:rsidRDefault="00C23A84" w:rsidP="00C2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504" w:rsidRDefault="00125F22" w:rsidP="00E32D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F22">
        <w:rPr>
          <w:rFonts w:ascii="Times New Roman" w:hAnsi="Times New Roman" w:cs="Times New Roman"/>
          <w:sz w:val="28"/>
          <w:szCs w:val="28"/>
        </w:rPr>
        <w:t xml:space="preserve"> Льготы по налогу на имущество физических л</w:t>
      </w:r>
      <w:r w:rsidR="00EE6504">
        <w:rPr>
          <w:rFonts w:ascii="Times New Roman" w:hAnsi="Times New Roman" w:cs="Times New Roman"/>
          <w:sz w:val="28"/>
          <w:szCs w:val="28"/>
        </w:rPr>
        <w:t>иц установлены в соответствии со статьей 407 Налогового Кодекса РФ</w:t>
      </w:r>
      <w:r w:rsidRPr="00125F22">
        <w:rPr>
          <w:rFonts w:ascii="Times New Roman" w:hAnsi="Times New Roman" w:cs="Times New Roman"/>
          <w:sz w:val="28"/>
          <w:szCs w:val="28"/>
        </w:rPr>
        <w:t>. Дополнительные льготы органами местного самоуправления не предоставлялись</w:t>
      </w:r>
      <w:r w:rsidR="00EE6504">
        <w:rPr>
          <w:rFonts w:ascii="Times New Roman" w:hAnsi="Times New Roman" w:cs="Times New Roman"/>
          <w:sz w:val="28"/>
          <w:szCs w:val="28"/>
        </w:rPr>
        <w:t>.</w:t>
      </w:r>
    </w:p>
    <w:p w:rsidR="00125F22" w:rsidRPr="00125F22" w:rsidRDefault="00EE6504" w:rsidP="00E32D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налоговых льгот по налогу на имущество на территории Мо «Зюкайское сельское поселение» за 2015 год составила 0,00 рублей, следовательно</w:t>
      </w:r>
      <w:r w:rsidR="00804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поселения </w:t>
      </w:r>
      <w:r w:rsidR="00E32DFE">
        <w:rPr>
          <w:rFonts w:ascii="Times New Roman" w:hAnsi="Times New Roman" w:cs="Times New Roman"/>
          <w:sz w:val="28"/>
          <w:szCs w:val="28"/>
        </w:rPr>
        <w:t xml:space="preserve">оценка потерь от данных льгот бюджета поселения не производилась, </w:t>
      </w:r>
      <w:r w:rsidR="00125F22" w:rsidRPr="00125F2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бюджетная и социальная эффективность налоговых льгот не рассчитывалась.</w:t>
      </w:r>
    </w:p>
    <w:p w:rsidR="00125F22" w:rsidRDefault="00125F2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52" w:rsidRPr="00881652" w:rsidRDefault="00881652" w:rsidP="00881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87" w:rsidRPr="00804B5F" w:rsidRDefault="00E32DFE" w:rsidP="00E32D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sz w:val="28"/>
          <w:szCs w:val="28"/>
          <w:u w:val="single"/>
        </w:rPr>
        <w:t xml:space="preserve">1.2  Земельный налог </w:t>
      </w:r>
    </w:p>
    <w:p w:rsidR="00E32DFE" w:rsidRDefault="00E32DFE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МО «Зюкайское сельское поселение»  от </w:t>
      </w:r>
      <w:r w:rsidR="00804B5F">
        <w:rPr>
          <w:rFonts w:ascii="Times New Roman" w:hAnsi="Times New Roman" w:cs="Times New Roman"/>
          <w:sz w:val="28"/>
          <w:szCs w:val="28"/>
        </w:rPr>
        <w:t>27.07.2015 №33/117 « Об установлении земельного налога на территории Мо «Зюкайское сельское поселение» на территории Мо «Зюкайское сельское поселение» установлены следующие виды дополнительных льгот:</w:t>
      </w:r>
    </w:p>
    <w:p w:rsidR="00804B5F" w:rsidRDefault="00804B5F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казенным и бюджетным учреждениям органа местного самоуправления, финансовое обеспечение деятельности которых осуществляется из бюджета муниципального образования «Зюкайское сельское поселение»;</w:t>
      </w:r>
    </w:p>
    <w:p w:rsidR="00804B5F" w:rsidRDefault="00804B5F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добровольной пожарной охраны и добровольным пожарным МО «Зюкайское сельское поселение»;</w:t>
      </w:r>
    </w:p>
    <w:p w:rsidR="00804B5F" w:rsidRDefault="00804B5F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 и инвалидам Великой Отечественной войны;</w:t>
      </w:r>
    </w:p>
    <w:p w:rsidR="00804B5F" w:rsidRPr="003D4F51" w:rsidRDefault="00804B5F" w:rsidP="003D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51">
        <w:rPr>
          <w:rFonts w:ascii="Times New Roman" w:hAnsi="Times New Roman" w:cs="Times New Roman"/>
          <w:sz w:val="28"/>
          <w:szCs w:val="28"/>
        </w:rPr>
        <w:t>- физическим лицам –</w:t>
      </w:r>
      <w:r w:rsidR="005551E8" w:rsidRPr="003D4F51">
        <w:rPr>
          <w:rFonts w:ascii="Times New Roman" w:hAnsi="Times New Roman" w:cs="Times New Roman"/>
          <w:sz w:val="28"/>
          <w:szCs w:val="28"/>
        </w:rPr>
        <w:t xml:space="preserve"> </w:t>
      </w:r>
      <w:r w:rsidRPr="003D4F51">
        <w:rPr>
          <w:rFonts w:ascii="Times New Roman" w:hAnsi="Times New Roman" w:cs="Times New Roman"/>
          <w:sz w:val="28"/>
          <w:szCs w:val="28"/>
        </w:rPr>
        <w:t xml:space="preserve">старостам </w:t>
      </w:r>
      <w:r w:rsidR="005B2EA3">
        <w:rPr>
          <w:rFonts w:ascii="Times New Roman" w:hAnsi="Times New Roman" w:cs="Times New Roman"/>
          <w:sz w:val="28"/>
          <w:szCs w:val="28"/>
        </w:rPr>
        <w:t>МО</w:t>
      </w:r>
      <w:r w:rsidRPr="003D4F51">
        <w:rPr>
          <w:rFonts w:ascii="Times New Roman" w:hAnsi="Times New Roman" w:cs="Times New Roman"/>
          <w:sz w:val="28"/>
          <w:szCs w:val="28"/>
        </w:rPr>
        <w:t xml:space="preserve"> «Зюкайское сельское поселение».</w:t>
      </w:r>
    </w:p>
    <w:p w:rsidR="003D4F51" w:rsidRPr="003D4F51" w:rsidRDefault="003D4F51" w:rsidP="003D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51">
        <w:rPr>
          <w:rFonts w:ascii="Times New Roman" w:hAnsi="Times New Roman" w:cs="Times New Roman"/>
          <w:sz w:val="28"/>
          <w:szCs w:val="28"/>
        </w:rPr>
        <w:t xml:space="preserve"> На основании данных предоставленных ФНС России по Пермскому краю (форма 5-МН) и данных, размещенных в ПО АИН МО, в 2015 году муниципальные налоговые льготы по земельному налогу с физических лиц составили 0,00 рублей, с юридических лиц составили 137,00 тыс.руб.</w:t>
      </w:r>
      <w:r w:rsidR="00A8370C">
        <w:rPr>
          <w:rFonts w:ascii="Times New Roman" w:hAnsi="Times New Roman" w:cs="Times New Roman"/>
          <w:sz w:val="28"/>
          <w:szCs w:val="28"/>
        </w:rPr>
        <w:t xml:space="preserve"> Следовательно размер потерь </w:t>
      </w:r>
      <w:r w:rsidR="005B2EA3">
        <w:rPr>
          <w:rFonts w:ascii="Times New Roman" w:hAnsi="Times New Roman" w:cs="Times New Roman"/>
          <w:sz w:val="28"/>
          <w:szCs w:val="28"/>
        </w:rPr>
        <w:t xml:space="preserve">бюджета МО «Зюкайское сельское поселение» составил </w:t>
      </w:r>
      <w:r w:rsidRPr="003D4F51">
        <w:rPr>
          <w:rFonts w:ascii="Times New Roman" w:hAnsi="Times New Roman" w:cs="Times New Roman"/>
          <w:sz w:val="28"/>
          <w:szCs w:val="28"/>
        </w:rPr>
        <w:t xml:space="preserve"> </w:t>
      </w:r>
      <w:r w:rsidR="005B2EA3">
        <w:rPr>
          <w:rFonts w:ascii="Times New Roman" w:hAnsi="Times New Roman" w:cs="Times New Roman"/>
          <w:sz w:val="28"/>
          <w:szCs w:val="28"/>
        </w:rPr>
        <w:t>137 тыс.руб.</w:t>
      </w:r>
      <w:r w:rsidRPr="003D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51" w:rsidRPr="005B2EA3" w:rsidRDefault="003D4F51" w:rsidP="003D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A3">
        <w:rPr>
          <w:rFonts w:ascii="Times New Roman" w:hAnsi="Times New Roman" w:cs="Times New Roman"/>
          <w:sz w:val="28"/>
          <w:szCs w:val="28"/>
        </w:rPr>
        <w:t xml:space="preserve">Основной льготной категорией являются </w:t>
      </w:r>
      <w:r w:rsidR="005B2EA3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B2EA3">
        <w:rPr>
          <w:rFonts w:ascii="Times New Roman" w:hAnsi="Times New Roman" w:cs="Times New Roman"/>
          <w:sz w:val="28"/>
          <w:szCs w:val="28"/>
        </w:rPr>
        <w:t>бюджетные и казенные  учреждения, финансируемые за счет средств бюджета  МО «Зюкайское сельское поселение".</w:t>
      </w:r>
    </w:p>
    <w:p w:rsidR="005B2EA3" w:rsidRDefault="005B2EA3" w:rsidP="0062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5B2EA3">
        <w:rPr>
          <w:color w:val="333333"/>
          <w:sz w:val="28"/>
          <w:szCs w:val="28"/>
        </w:rPr>
        <w:t>Льготы, установленные для муниципальных бюджетных и казенных учреждений, действующих в интересах населения</w:t>
      </w:r>
      <w:r>
        <w:rPr>
          <w:color w:val="333333"/>
          <w:sz w:val="28"/>
          <w:szCs w:val="28"/>
        </w:rPr>
        <w:t xml:space="preserve"> п.Зюкайка </w:t>
      </w:r>
      <w:r w:rsidRPr="005B2EA3">
        <w:rPr>
          <w:color w:val="333333"/>
          <w:sz w:val="28"/>
          <w:szCs w:val="28"/>
        </w:rPr>
        <w:t xml:space="preserve">, носят </w:t>
      </w:r>
      <w:r w:rsidRPr="005B2EA3">
        <w:rPr>
          <w:color w:val="333333"/>
          <w:sz w:val="28"/>
          <w:szCs w:val="28"/>
        </w:rPr>
        <w:lastRenderedPageBreak/>
        <w:t xml:space="preserve">социальный характер, и для них рассчитывается </w:t>
      </w:r>
      <w:r w:rsidRPr="005B2EA3">
        <w:rPr>
          <w:b/>
          <w:bCs/>
          <w:color w:val="333333"/>
          <w:sz w:val="28"/>
          <w:szCs w:val="28"/>
        </w:rPr>
        <w:t>социальная эффективность,</w:t>
      </w:r>
      <w:r w:rsidRPr="005B2EA3">
        <w:rPr>
          <w:color w:val="333333"/>
          <w:sz w:val="28"/>
          <w:szCs w:val="28"/>
        </w:rPr>
        <w:t xml:space="preserve"> которая равна сумме предоставленных льгот. </w:t>
      </w:r>
    </w:p>
    <w:p w:rsidR="005B2EA3" w:rsidRDefault="005B2EA3" w:rsidP="0062514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проведенной инвентаризации составляем реестр предоставляемых льгот ( таблица 1 ).</w:t>
      </w:r>
    </w:p>
    <w:p w:rsidR="00625145" w:rsidRDefault="00625145" w:rsidP="0062514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Таблица 1 – Реестр предоставления налоговых льгот по состоянию на 15.06.2017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1701"/>
        <w:gridCol w:w="1757"/>
        <w:gridCol w:w="2041"/>
        <w:gridCol w:w="1928"/>
      </w:tblGrid>
      <w:tr w:rsidR="00625145" w:rsidTr="006251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Наименование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Наименование льготной категории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Вид преференции (пониженная ставка/полное освобождение)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Объемы предоставленных льгот, тыс.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Предложения по итогам оценки льгот (отменить/сохранить)</w:t>
            </w:r>
          </w:p>
        </w:tc>
      </w:tr>
      <w:tr w:rsidR="00625145" w:rsidTr="006251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25145" w:rsidTr="006251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62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  <w:p w:rsidR="00625145" w:rsidRPr="00625145" w:rsidRDefault="00625145" w:rsidP="0062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62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Муниципальным казенным и бюджетным учреждениям органа местного самоуправления, финансовое обеспечение деятельности которых осуществляется из бюджета муниципального образования «Зюкайское сельское поселение»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Полное освобождение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137,0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сохранить</w:t>
            </w:r>
          </w:p>
        </w:tc>
      </w:tr>
      <w:tr w:rsidR="00625145" w:rsidTr="00C67E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2E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2E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работникам добровольной пожарной охраны и добровольным пожарным МО «Зюкайское сельское поселение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2E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налога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сохранить</w:t>
            </w:r>
          </w:p>
        </w:tc>
      </w:tr>
      <w:tr w:rsidR="00625145" w:rsidTr="006B1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5B2EA3" w:rsidRDefault="00625145" w:rsidP="0028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28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28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ветеранам и инвалидам Великой Отечественной войн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625145" w:rsidRDefault="00625145" w:rsidP="0028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налога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145">
              <w:rPr>
                <w:rFonts w:ascii="Times New Roman" w:hAnsi="Times New Roman" w:cs="Times New Roman"/>
                <w:lang w:eastAsia="en-US"/>
              </w:rPr>
              <w:t>сохранить</w:t>
            </w:r>
          </w:p>
        </w:tc>
      </w:tr>
      <w:tr w:rsidR="00625145" w:rsidTr="006B1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Default="00625145" w:rsidP="0028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5B2EA3" w:rsidRDefault="00625145" w:rsidP="004E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14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5B2EA3" w:rsidRDefault="00625145" w:rsidP="004E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A3">
              <w:rPr>
                <w:rFonts w:ascii="Times New Roman" w:hAnsi="Times New Roman" w:cs="Times New Roman"/>
                <w:sz w:val="20"/>
                <w:szCs w:val="20"/>
              </w:rPr>
              <w:t>физическим лицам – старостам МО «Зюкайское сельское поселение»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5B2EA3" w:rsidRDefault="00625145" w:rsidP="004E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A3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налога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 w:rsidP="0062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сохранить</w:t>
            </w:r>
          </w:p>
        </w:tc>
      </w:tr>
    </w:tbl>
    <w:p w:rsidR="00625145" w:rsidRDefault="00625145" w:rsidP="005B2E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625145" w:rsidRDefault="00625145" w:rsidP="005B2E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5B2EA3" w:rsidRDefault="005B2EA3" w:rsidP="005B2E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625145" w:rsidRDefault="00625145" w:rsidP="0062514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бюджетной, социальной эффективности по предоставленным налоговым льготам</w:t>
      </w:r>
    </w:p>
    <w:p w:rsidR="00625145" w:rsidRDefault="00625145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25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145" w:rsidRPr="00625145" w:rsidRDefault="00625145" w:rsidP="0062514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1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Бюджетная эффективность (БЭ) предоставленных налоговых льгот</w:t>
      </w:r>
    </w:p>
    <w:p w:rsidR="00625145" w:rsidRPr="00625145" w:rsidRDefault="00625145" w:rsidP="0062514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145" w:rsidRPr="00625145" w:rsidRDefault="00625145" w:rsidP="00625145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145">
        <w:rPr>
          <w:rFonts w:ascii="Times New Roman" w:eastAsia="Calibri" w:hAnsi="Times New Roman" w:cs="Times New Roman"/>
          <w:sz w:val="28"/>
          <w:szCs w:val="28"/>
        </w:rPr>
        <w:t xml:space="preserve">Наименование налога </w:t>
      </w:r>
      <w:r w:rsidRPr="00625145">
        <w:rPr>
          <w:rFonts w:ascii="Times New Roman" w:eastAsia="Calibri" w:hAnsi="Times New Roman" w:cs="Times New Roman"/>
          <w:sz w:val="28"/>
          <w:szCs w:val="28"/>
          <w:u w:val="single"/>
        </w:rPr>
        <w:t>Налог на имущество физических лиц и земельный налог</w:t>
      </w:r>
      <w:r w:rsidR="000725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физических  и юридических лиц</w:t>
      </w:r>
    </w:p>
    <w:p w:rsidR="00625145" w:rsidRPr="00625145" w:rsidRDefault="00625145" w:rsidP="00625145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25145" w:rsidRPr="00625145" w:rsidRDefault="00625145" w:rsidP="00625145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eastAsia="Calibri" w:hAnsi="Times New Roman" w:cs="Times New Roman"/>
          <w:b/>
          <w:szCs w:val="28"/>
        </w:rPr>
      </w:pPr>
      <w:r w:rsidRPr="00625145">
        <w:rPr>
          <w:rFonts w:ascii="Times New Roman" w:eastAsia="Calibri" w:hAnsi="Times New Roman" w:cs="Times New Roman"/>
          <w:sz w:val="28"/>
          <w:szCs w:val="28"/>
        </w:rPr>
        <w:t xml:space="preserve">Содержание налоговой льготы </w:t>
      </w:r>
      <w:r w:rsidRPr="00625145">
        <w:rPr>
          <w:rFonts w:ascii="Times New Roman" w:eastAsia="Calibri" w:hAnsi="Times New Roman" w:cs="Times New Roman"/>
          <w:sz w:val="28"/>
          <w:szCs w:val="28"/>
          <w:u w:val="single"/>
        </w:rPr>
        <w:t>освобождение</w:t>
      </w:r>
      <w:r w:rsidRPr="00625145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625145" w:rsidRPr="00625145" w:rsidRDefault="00625145" w:rsidP="00625145">
      <w:pPr>
        <w:spacing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</w:r>
      <w:r w:rsidRPr="006251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2514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330" w:type="dxa"/>
        <w:tblInd w:w="93" w:type="dxa"/>
        <w:tblLayout w:type="fixed"/>
        <w:tblLook w:val="04A0"/>
      </w:tblPr>
      <w:tblGrid>
        <w:gridCol w:w="629"/>
        <w:gridCol w:w="9"/>
        <w:gridCol w:w="1784"/>
        <w:gridCol w:w="1801"/>
        <w:gridCol w:w="1941"/>
        <w:gridCol w:w="1791"/>
        <w:gridCol w:w="1844"/>
        <w:gridCol w:w="1419"/>
        <w:gridCol w:w="2127"/>
        <w:gridCol w:w="1985"/>
      </w:tblGrid>
      <w:tr w:rsidR="00625145" w:rsidRPr="00625145" w:rsidTr="00EE5917">
        <w:trPr>
          <w:trHeight w:val="1823"/>
          <w:tblHeader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07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</w:t>
            </w:r>
            <w:r w:rsidR="00625145" w:rsidRPr="00625145">
              <w:rPr>
                <w:rFonts w:ascii="Times New Roman" w:hAnsi="Times New Roman" w:cs="Times New Roman"/>
                <w:sz w:val="24"/>
                <w:szCs w:val="24"/>
              </w:rPr>
              <w:t xml:space="preserve"> г., факт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07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</w:t>
            </w:r>
            <w:r w:rsidR="00625145" w:rsidRPr="00625145">
              <w:rPr>
                <w:rFonts w:ascii="Times New Roman" w:hAnsi="Times New Roman" w:cs="Times New Roman"/>
                <w:sz w:val="24"/>
                <w:szCs w:val="24"/>
              </w:rPr>
              <w:t xml:space="preserve"> г., факт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 w:rsidP="0007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 xml:space="preserve">Прирост (снижение) поступлений налога в </w:t>
            </w:r>
            <w:r w:rsidR="00072591">
              <w:rPr>
                <w:rFonts w:ascii="Times New Roman" w:hAnsi="Times New Roman" w:cs="Times New Roman"/>
                <w:sz w:val="24"/>
                <w:szCs w:val="24"/>
              </w:rPr>
              <w:t>бюджет 2013г./2014</w:t>
            </w: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Поступление налога</w:t>
            </w:r>
          </w:p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2015 г., факт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 w:rsidP="0007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 xml:space="preserve">Прирост (снижение) поступлений налога в </w:t>
            </w:r>
            <w:r w:rsidR="00072591">
              <w:rPr>
                <w:rFonts w:ascii="Times New Roman" w:hAnsi="Times New Roman" w:cs="Times New Roman"/>
                <w:sz w:val="24"/>
                <w:szCs w:val="24"/>
              </w:rPr>
              <w:t>бюджет 2014</w:t>
            </w: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г./2015г.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45" w:rsidRPr="00625145" w:rsidRDefault="0062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 xml:space="preserve">Сумма льготы за 2015 год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6251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5145" w:rsidRPr="00625145" w:rsidTr="00EE5917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5145" w:rsidRPr="00625145" w:rsidTr="00EE5917">
        <w:trPr>
          <w:trHeight w:val="39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5145" w:rsidRPr="00625145" w:rsidTr="00EE5917">
        <w:trPr>
          <w:trHeight w:val="3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072591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91"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072591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91">
              <w:rPr>
                <w:rFonts w:ascii="Times New Roman" w:eastAsia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072591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91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072591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91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072591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91">
              <w:rPr>
                <w:rFonts w:ascii="Times New Roman" w:eastAsia="Times New Roman" w:hAnsi="Times New Roman" w:cs="Times New Roman"/>
                <w:sz w:val="24"/>
                <w:szCs w:val="24"/>
              </w:rPr>
              <w:t>-53,1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0725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145" w:rsidRPr="00625145" w:rsidRDefault="0007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рассчитывается, в связи с суммой налоговых льгот  равной 0</w:t>
            </w:r>
          </w:p>
        </w:tc>
      </w:tr>
      <w:tr w:rsidR="00625145" w:rsidRPr="00625145" w:rsidTr="00EE5917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налог</w:t>
            </w:r>
            <w:r w:rsidR="00EE5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5" w:rsidRPr="00625145" w:rsidRDefault="006251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5917" w:rsidRPr="00625145" w:rsidTr="00A90B86">
        <w:trPr>
          <w:trHeight w:val="375"/>
        </w:trPr>
        <w:tc>
          <w:tcPr>
            <w:tcW w:w="153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Pr="00625145" w:rsidRDefault="00EE59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Физические лица</w:t>
            </w:r>
          </w:p>
        </w:tc>
      </w:tr>
      <w:tr w:rsidR="00625145" w:rsidRPr="00625145" w:rsidTr="00EE5917">
        <w:trPr>
          <w:trHeight w:val="37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145" w:rsidRPr="00625145" w:rsidRDefault="0062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848,1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700,3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-530,6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45" w:rsidRPr="00EE5917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145" w:rsidRPr="00625145" w:rsidRDefault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рассчитывается, в связи с суммой налоговых льгот  равной 0</w:t>
            </w:r>
          </w:p>
        </w:tc>
      </w:tr>
      <w:tr w:rsidR="00EE5917" w:rsidRPr="00625145" w:rsidTr="000D4B58">
        <w:trPr>
          <w:trHeight w:val="375"/>
        </w:trPr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917" w:rsidRPr="00EE5917" w:rsidRDefault="00EE5917" w:rsidP="00EE59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</w:t>
            </w:r>
          </w:p>
        </w:tc>
      </w:tr>
      <w:tr w:rsidR="00072591" w:rsidRPr="00625145" w:rsidTr="00EE5917">
        <w:trPr>
          <w:trHeight w:val="37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91" w:rsidRPr="00625145" w:rsidRDefault="00072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91" w:rsidRPr="00CC4266" w:rsidRDefault="00EE5917" w:rsidP="00EE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66">
              <w:rPr>
                <w:rFonts w:ascii="Times New Roman" w:hAnsi="Times New Roman" w:cs="Times New Roman"/>
                <w:sz w:val="24"/>
                <w:szCs w:val="24"/>
              </w:rPr>
              <w:t>802,2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91" w:rsidRPr="00CC4266" w:rsidRDefault="00EE5917" w:rsidP="00EE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66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91" w:rsidRPr="00CC4266" w:rsidRDefault="00EE5917" w:rsidP="00EE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66">
              <w:rPr>
                <w:rFonts w:ascii="Times New Roman" w:hAnsi="Times New Roman" w:cs="Times New Roman"/>
                <w:sz w:val="24"/>
                <w:szCs w:val="24"/>
              </w:rPr>
              <w:t>-611,1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91" w:rsidRPr="00CC4266" w:rsidRDefault="00EE5917" w:rsidP="00EE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66"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591" w:rsidRPr="00CC4266" w:rsidRDefault="00EE5917" w:rsidP="00EE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66"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91" w:rsidRPr="00CC4266" w:rsidRDefault="00EE5917" w:rsidP="00EE5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6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91" w:rsidRPr="00CC4266" w:rsidRDefault="00CC4266" w:rsidP="00EE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591" w:rsidRPr="00CC4266" w:rsidRDefault="00CC4266" w:rsidP="00C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нормативного значения, бюджетная обеспеченность приемлемая </w:t>
            </w:r>
          </w:p>
        </w:tc>
      </w:tr>
    </w:tbl>
    <w:p w:rsidR="00625145" w:rsidRDefault="00625145" w:rsidP="00625145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625145" w:rsidRDefault="00625145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25145" w:rsidSect="006251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69A0" w:rsidRDefault="00CC4266" w:rsidP="00C2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проведенной оценки эффективности налоговых льгот, можно сделать вывод, что</w:t>
      </w:r>
      <w:r w:rsidR="00C269A0">
        <w:rPr>
          <w:rFonts w:ascii="Times New Roman" w:hAnsi="Times New Roman" w:cs="Times New Roman"/>
          <w:sz w:val="28"/>
          <w:szCs w:val="28"/>
        </w:rPr>
        <w:t xml:space="preserve"> в 2015 году налоговые льготы по налогу на имущество  физических лиц, земельному налогу  физических лиц не предоставлялись , в связи с этим расчет эффективности по данным категориям налогоплательщиков не целесообразен.</w:t>
      </w:r>
    </w:p>
    <w:p w:rsidR="00C269A0" w:rsidRPr="00C269A0" w:rsidRDefault="00C269A0" w:rsidP="00C2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A0">
        <w:rPr>
          <w:rFonts w:ascii="Times New Roman" w:hAnsi="Times New Roman" w:cs="Times New Roman"/>
          <w:sz w:val="28"/>
          <w:szCs w:val="28"/>
        </w:rPr>
        <w:t>Также в 2015 году по земельному налогу  юридических лиц, льготой воспользовались муниципальные казенные и бюджетные учреждения, финансируемые из бюджета МО «Зюкайское сельское поселение» сумма льгот составила 137 тыс. руб.,  при расчете бюджетной эффективности коэффициент составил 2,5, что больше нормативного значения .</w:t>
      </w:r>
    </w:p>
    <w:p w:rsidR="00C269A0" w:rsidRPr="00C269A0" w:rsidRDefault="00C269A0" w:rsidP="00C269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269A0">
        <w:rPr>
          <w:sz w:val="28"/>
          <w:szCs w:val="28"/>
        </w:rPr>
        <w:t>Результатом проведенного анализа налоговых льгот явля</w:t>
      </w:r>
      <w:r>
        <w:rPr>
          <w:sz w:val="28"/>
          <w:szCs w:val="28"/>
        </w:rPr>
        <w:t>ется то, что в основном (на 100</w:t>
      </w:r>
      <w:r w:rsidRPr="00C269A0">
        <w:rPr>
          <w:sz w:val="28"/>
          <w:szCs w:val="28"/>
        </w:rPr>
        <w:t>%) льготы носят социальный характер и направлены на:</w:t>
      </w:r>
    </w:p>
    <w:p w:rsidR="00C269A0" w:rsidRPr="00C269A0" w:rsidRDefault="00C269A0" w:rsidP="00C269A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269A0">
        <w:rPr>
          <w:sz w:val="28"/>
          <w:szCs w:val="28"/>
        </w:rPr>
        <w:t>- снижение налоговой нагрузки организаций бюджетной сферы;</w:t>
      </w:r>
    </w:p>
    <w:p w:rsidR="00C269A0" w:rsidRPr="00C269A0" w:rsidRDefault="00C269A0" w:rsidP="00C269A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269A0">
        <w:rPr>
          <w:sz w:val="28"/>
          <w:szCs w:val="28"/>
        </w:rPr>
        <w:t>- поддержку организаций социальной сферы;</w:t>
      </w:r>
    </w:p>
    <w:p w:rsidR="00C269A0" w:rsidRPr="00C269A0" w:rsidRDefault="00C269A0" w:rsidP="00C269A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269A0">
        <w:rPr>
          <w:sz w:val="28"/>
          <w:szCs w:val="28"/>
        </w:rPr>
        <w:t>- социальную поддержку граждан.  </w:t>
      </w:r>
    </w:p>
    <w:p w:rsidR="00804B5F" w:rsidRDefault="00804B5F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A0" w:rsidRDefault="00C269A0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A0" w:rsidRDefault="00C269A0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A0" w:rsidRDefault="00C269A0" w:rsidP="00C2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главы администрации </w:t>
      </w:r>
    </w:p>
    <w:p w:rsidR="00C269A0" w:rsidRDefault="00C269A0" w:rsidP="00C2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экономики и финансов        </w:t>
      </w:r>
      <w:r w:rsidR="00617EDE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Н.С.Соболевская</w:t>
      </w:r>
    </w:p>
    <w:p w:rsidR="00804B5F" w:rsidRPr="00E32DFE" w:rsidRDefault="00804B5F" w:rsidP="008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B5F" w:rsidRPr="00E32DFE" w:rsidSect="0074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98A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>
    <w:nsid w:val="18E95A6C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A33"/>
    <w:rsid w:val="00072591"/>
    <w:rsid w:val="00125F22"/>
    <w:rsid w:val="001B2E6F"/>
    <w:rsid w:val="003D4F51"/>
    <w:rsid w:val="003F3698"/>
    <w:rsid w:val="00514198"/>
    <w:rsid w:val="005551E8"/>
    <w:rsid w:val="005B2EA3"/>
    <w:rsid w:val="00617EDE"/>
    <w:rsid w:val="00625145"/>
    <w:rsid w:val="00740E4E"/>
    <w:rsid w:val="00804B5F"/>
    <w:rsid w:val="00881652"/>
    <w:rsid w:val="00A8370C"/>
    <w:rsid w:val="00BA74B8"/>
    <w:rsid w:val="00C23A84"/>
    <w:rsid w:val="00C269A0"/>
    <w:rsid w:val="00C54D87"/>
    <w:rsid w:val="00CC4266"/>
    <w:rsid w:val="00DE6A33"/>
    <w:rsid w:val="00E32DFE"/>
    <w:rsid w:val="00EE5917"/>
    <w:rsid w:val="00E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2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2017-06-15T12:04:00Z</cp:lastPrinted>
  <dcterms:created xsi:type="dcterms:W3CDTF">2017-06-20T08:48:00Z</dcterms:created>
  <dcterms:modified xsi:type="dcterms:W3CDTF">2017-06-20T08:48:00Z</dcterms:modified>
</cp:coreProperties>
</file>