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F" w:rsidRDefault="00FD736F" w:rsidP="00716738">
      <w:pPr>
        <w:pStyle w:val="ConsPlusTitle"/>
      </w:pPr>
    </w:p>
    <w:p w:rsidR="00A7137D" w:rsidRDefault="00A7137D" w:rsidP="00A7137D">
      <w:pPr>
        <w:pStyle w:val="ConsPlusTitle"/>
        <w:jc w:val="center"/>
      </w:pPr>
      <w:r>
        <w:t>ДОПОЛНИТЕЛЬНАЯ ГРУППИРОВКА</w:t>
      </w:r>
    </w:p>
    <w:p w:rsidR="00A7137D" w:rsidRDefault="00A7137D" w:rsidP="00A7137D">
      <w:pPr>
        <w:pStyle w:val="ConsPlusTitle"/>
        <w:jc w:val="center"/>
      </w:pPr>
      <w:r>
        <w:t>к Рабочему плану счетов бюджетного (бухгалтерского) учета</w:t>
      </w:r>
    </w:p>
    <w:p w:rsidR="00A7137D" w:rsidRDefault="00A7137D" w:rsidP="00A7137D">
      <w:pPr>
        <w:pStyle w:val="ConsPlusTitle"/>
        <w:jc w:val="center"/>
      </w:pPr>
      <w:r>
        <w:t>активов и обязательств в разрезе дополнительных</w:t>
      </w:r>
    </w:p>
    <w:p w:rsidR="00A7137D" w:rsidRDefault="00A7137D" w:rsidP="00A7137D">
      <w:pPr>
        <w:pStyle w:val="ConsPlusTitle"/>
        <w:jc w:val="center"/>
      </w:pPr>
      <w:r>
        <w:t>аналитических признаков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5760"/>
        <w:gridCol w:w="2239"/>
        <w:gridCol w:w="1710"/>
        <w:gridCol w:w="1924"/>
      </w:tblGrid>
      <w:tr w:rsidR="00A7137D" w:rsidTr="0032476E">
        <w:tc>
          <w:tcPr>
            <w:tcW w:w="2382" w:type="dxa"/>
            <w:gridSpan w:val="2"/>
          </w:tcPr>
          <w:p w:rsidR="00A7137D" w:rsidRDefault="00A7137D" w:rsidP="00D22228">
            <w:pPr>
              <w:pStyle w:val="ConsPlusNormal"/>
              <w:jc w:val="center"/>
            </w:pPr>
            <w:r>
              <w:t>Код счета</w:t>
            </w:r>
          </w:p>
        </w:tc>
        <w:tc>
          <w:tcPr>
            <w:tcW w:w="5760" w:type="dxa"/>
            <w:vMerge w:val="restart"/>
          </w:tcPr>
          <w:p w:rsidR="00A7137D" w:rsidRDefault="00A7137D" w:rsidP="00D22228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5873" w:type="dxa"/>
            <w:gridSpan w:val="3"/>
            <w:vMerge w:val="restart"/>
          </w:tcPr>
          <w:p w:rsidR="00A7137D" w:rsidRDefault="00A7137D" w:rsidP="00D22228">
            <w:pPr>
              <w:pStyle w:val="ConsPlusNormal"/>
              <w:jc w:val="center"/>
            </w:pPr>
            <w:r>
              <w:t xml:space="preserve">Дополнительные аналитические признаки </w:t>
            </w:r>
            <w:hyperlink w:anchor="P4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синтетический счет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аналитический счет</w:t>
            </w:r>
          </w:p>
        </w:tc>
        <w:tc>
          <w:tcPr>
            <w:tcW w:w="5760" w:type="dxa"/>
            <w:vMerge/>
          </w:tcPr>
          <w:p w:rsidR="00A7137D" w:rsidRDefault="00A7137D" w:rsidP="00D22228"/>
        </w:tc>
        <w:tc>
          <w:tcPr>
            <w:tcW w:w="5873" w:type="dxa"/>
            <w:gridSpan w:val="3"/>
            <w:vMerge/>
          </w:tcPr>
          <w:p w:rsidR="00A7137D" w:rsidRDefault="00A7137D" w:rsidP="00D22228"/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</w:t>
            </w:r>
          </w:p>
        </w:tc>
      </w:tr>
      <w:tr w:rsidR="00A7137D" w:rsidTr="0032476E">
        <w:tc>
          <w:tcPr>
            <w:tcW w:w="14015" w:type="dxa"/>
            <w:gridSpan w:val="6"/>
          </w:tcPr>
          <w:p w:rsidR="00A7137D" w:rsidRDefault="00A7137D" w:rsidP="00D22228">
            <w:pPr>
              <w:pStyle w:val="ConsPlusNormal"/>
              <w:jc w:val="center"/>
              <w:outlineLvl w:val="2"/>
            </w:pPr>
            <w:r>
              <w:t>БАЛАНСОВЫЕ СЧЕТА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Прочие основные средства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Земля - недвижимое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Материальные запасы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Партии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Партии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Партии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Товары - иное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нефинансовые активы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недвижимое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непроизведенные активы - недвижимое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нематериальные активы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Вложения в материальные запасы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bookmarkStart w:id="0" w:name="_GoBack"/>
            <w:bookmarkEnd w:id="0"/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выданным авансам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Документы 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прочим выплатам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 xml:space="preserve">Документы </w:t>
            </w:r>
            <w:r>
              <w:lastRenderedPageBreak/>
              <w:t>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lastRenderedPageBreak/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Документы 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приобретению непроизведенных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авансовым перечислениям международным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пособиям по социальной помощи населению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на приобретение ценных бумаг и иных финансовых вложений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на приобретение ценных бумаг, кроме акций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Расчеты по авансам на приобретение акций и по иным </w:t>
            </w:r>
            <w:r>
              <w:lastRenderedPageBreak/>
              <w:t>формам участия в капитале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на приобретение иных 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авансам по оплате иных расходов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прочим выплатам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работам,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подотчетными лицами по оплате иных расходов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Авансы подотчетным лицам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и иным доходам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нефинансовым активам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</w:pP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непроизведенным активам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ущербу материальным запасам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недостачам денежных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принятым обязательствам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</w:pP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Документы 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прочим выплатам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Документы 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Документы расчетов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страхованию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непроизведенных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перечислениям международным организациям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пособиям по социальной помощи населению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ценных бумаг и по иным финансовым вложениям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ценных бумаг, кроме акций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акций и иным формам участия в капитале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иным расходам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платежам в бюджеты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прочим платежам в бюджет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Расчеты по страховым взносам на обязательное </w:t>
            </w:r>
            <w:r>
              <w:lastRenderedPageBreak/>
              <w:t xml:space="preserve">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 xml:space="preserve">Виды налогов и </w:t>
            </w:r>
            <w:r>
              <w:lastRenderedPageBreak/>
              <w:t>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 xml:space="preserve">Дополнительный </w:t>
            </w:r>
            <w:r>
              <w:lastRenderedPageBreak/>
              <w:t>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налогу на имущество организаций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земельному налогу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налогов и платежей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Прочие расчеты с кредиторами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депонентами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КЭК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Внутриведомственные расчеты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Корреспонденты по внутренним расчетам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по платежам из бюджета с финансовым органом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Расчеты с прочими кредиторами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Консолидируемые расчеты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Корреспонденты по внутренним расчетам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Консолидируемые расчеты иных прошлых лет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Иные расчеты прошлых лет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Финансовый результат экономического субъекта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E95CE3" w:rsidRPr="00E95CE3" w:rsidTr="0032476E">
        <w:tc>
          <w:tcPr>
            <w:tcW w:w="1191" w:type="dxa"/>
          </w:tcPr>
          <w:p w:rsidR="00A7137D" w:rsidRPr="003668C2" w:rsidRDefault="00A7137D" w:rsidP="00D22228">
            <w:pPr>
              <w:pStyle w:val="ConsPlusNormal"/>
              <w:jc w:val="center"/>
            </w:pPr>
            <w:r w:rsidRPr="003668C2">
              <w:t>401</w:t>
            </w:r>
          </w:p>
        </w:tc>
        <w:tc>
          <w:tcPr>
            <w:tcW w:w="1191" w:type="dxa"/>
          </w:tcPr>
          <w:p w:rsidR="00A7137D" w:rsidRPr="003668C2" w:rsidRDefault="00A7137D" w:rsidP="00D22228">
            <w:pPr>
              <w:pStyle w:val="ConsPlusNormal"/>
              <w:jc w:val="center"/>
            </w:pPr>
            <w:r w:rsidRPr="003668C2">
              <w:t>10</w:t>
            </w:r>
          </w:p>
        </w:tc>
        <w:tc>
          <w:tcPr>
            <w:tcW w:w="5760" w:type="dxa"/>
          </w:tcPr>
          <w:p w:rsidR="00A7137D" w:rsidRPr="003668C2" w:rsidRDefault="00A7137D" w:rsidP="00D22228">
            <w:pPr>
              <w:pStyle w:val="ConsPlusNormal"/>
            </w:pPr>
            <w:r w:rsidRPr="003668C2">
              <w:t>Доходы текущего финансового года</w:t>
            </w:r>
          </w:p>
        </w:tc>
        <w:tc>
          <w:tcPr>
            <w:tcW w:w="2239" w:type="dxa"/>
          </w:tcPr>
          <w:p w:rsidR="00A7137D" w:rsidRPr="003668C2" w:rsidRDefault="00A7137D" w:rsidP="00D22228">
            <w:pPr>
              <w:pStyle w:val="ConsPlusNormal"/>
              <w:jc w:val="center"/>
            </w:pPr>
            <w:r w:rsidRPr="003668C2">
              <w:t>Направление деятельности</w:t>
            </w:r>
          </w:p>
        </w:tc>
        <w:tc>
          <w:tcPr>
            <w:tcW w:w="1710" w:type="dxa"/>
          </w:tcPr>
          <w:p w:rsidR="00A7137D" w:rsidRPr="003668C2" w:rsidRDefault="00A7137D" w:rsidP="00D22228">
            <w:pPr>
              <w:pStyle w:val="ConsPlusNormal"/>
              <w:jc w:val="center"/>
            </w:pPr>
            <w:proofErr w:type="spellStart"/>
            <w:r w:rsidRPr="003668C2">
              <w:t>ДопКл</w:t>
            </w:r>
            <w:proofErr w:type="spellEnd"/>
          </w:p>
        </w:tc>
        <w:tc>
          <w:tcPr>
            <w:tcW w:w="1924" w:type="dxa"/>
          </w:tcPr>
          <w:p w:rsidR="00A7137D" w:rsidRPr="00E95CE3" w:rsidRDefault="00A7137D" w:rsidP="00D22228">
            <w:pPr>
              <w:pStyle w:val="ConsPlusNormal"/>
              <w:jc w:val="center"/>
              <w:rPr>
                <w:color w:val="FF0000"/>
              </w:rPr>
            </w:pPr>
            <w:r w:rsidRPr="00E95CE3">
              <w:rPr>
                <w:color w:val="FF0000"/>
              </w:rP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Расходы текущего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Расходы будущих периодов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Расходы будущих периодов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Резервы предстоящих расходов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Резервы и оценочные обязательства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 текущему финансовому году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очередного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Лимиты бюджетных обязательств второго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(первого года, следующего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Лимиты бюджетных обязательств второго года, следующего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Обязательства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Обязательства текущего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обязательства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авансовые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Авансовые денежные обязательства к исполнению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Исполненные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Принимаемые обязательства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Отложенные обязательства текущего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Обязательства первого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(очередного финансового года)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обязательства 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текущим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денежные обязательства 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текущим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авансовые денежные обязательства 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текущим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Авансовые денежные обязательства к исполнению на первый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Исполненные денежные обязательства на первый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Принимаемые обязательства на первый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очередной финансовый год)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Отложенные обязательства первого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(очередного финансового года)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Обязательства второго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(первого года, следующего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денежные обязательства на второй год, следующий за текущим (на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авансовые денежные обязательства на второй год, следующий за текущим (на первый год, следующий </w:t>
            </w:r>
            <w:proofErr w:type="gramStart"/>
            <w:r>
              <w:t>за</w:t>
            </w:r>
            <w:proofErr w:type="gramEnd"/>
            <w:r>
              <w:t xml:space="preserve">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Авансовые денежные обязательства к исполнению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первый год, следующий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Исполненные денежные обязательства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первый год, следующий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Принимаемые обязательства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первый год, следующий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Отложенные обязательства второго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(первого года, следующего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Обязательства второго года, следующего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обязательства на второй год, следующий </w:t>
            </w:r>
            <w:proofErr w:type="gramStart"/>
            <w:r>
              <w:t>за</w:t>
            </w:r>
            <w:proofErr w:type="gramEnd"/>
            <w:r>
              <w:t xml:space="preserve"> очередным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денежные обязательства на второй год, </w:t>
            </w:r>
            <w:r>
              <w:lastRenderedPageBreak/>
              <w:t xml:space="preserve">следующий </w:t>
            </w:r>
            <w:proofErr w:type="gramStart"/>
            <w:r>
              <w:t>за</w:t>
            </w:r>
            <w:proofErr w:type="gramEnd"/>
            <w:r>
              <w:t xml:space="preserve"> очередным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 xml:space="preserve">Разделы лицевых </w:t>
            </w:r>
            <w:r>
              <w:lastRenderedPageBreak/>
              <w:t>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 xml:space="preserve">Принятые </w:t>
            </w:r>
            <w:r>
              <w:lastRenderedPageBreak/>
              <w:t>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lastRenderedPageBreak/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Принятые авансовые денежные обязательства на второй год, следующий </w:t>
            </w:r>
            <w:proofErr w:type="gramStart"/>
            <w:r>
              <w:t>за</w:t>
            </w:r>
            <w:proofErr w:type="gramEnd"/>
            <w:r>
              <w:t xml:space="preserve"> очередным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Авансовые денежные обязательства к исполнению на второй 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Исполненные денежные обязательства на второй 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Принимаемые обязательства на второй 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Отложенные обязательства второго года, следующего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денежные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Принятые авансовые денежные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Авансовые денежные обязательства к исполнению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Исполненные денежные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Принятые обязательства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текущего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Бюджетные ассигнования первого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(очередного финансового года)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Бюджетные ассигнования второго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(первого года, следующего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Бюджетные ассигнования второго года, следующего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 xml:space="preserve">Разделы лицевых </w:t>
            </w:r>
            <w:r>
              <w:lastRenderedPageBreak/>
              <w:t>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текущего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очередного финансового года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Сметные (плановые, прогнозные) назначения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(первый год, следующий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Сметные (плановые, прогнозные) назначения на второй </w:t>
            </w:r>
            <w:r>
              <w:lastRenderedPageBreak/>
              <w:t xml:space="preserve">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Право на принятие обязательств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Право на принятие обязательств на текущий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Право на принятие обязательств на очередной финансовый год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Право на принятие обязательств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(первый, следующий за очередным)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Право на принятие обязательств на второй 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Разделы лицевых счетов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4015" w:type="dxa"/>
            <w:gridSpan w:val="6"/>
          </w:tcPr>
          <w:p w:rsidR="00A7137D" w:rsidRDefault="00A7137D" w:rsidP="00D22228">
            <w:pPr>
              <w:pStyle w:val="ConsPlusNormal"/>
              <w:jc w:val="center"/>
              <w:outlineLvl w:val="2"/>
            </w:pPr>
            <w:r>
              <w:t>ЗАБАЛАНСОВЫЕ СЧЕТА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Код счета номер счета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Дополнительный аналитический счет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5873" w:type="dxa"/>
            <w:gridSpan w:val="3"/>
          </w:tcPr>
          <w:p w:rsidR="00A7137D" w:rsidRDefault="00A7137D" w:rsidP="00D22228">
            <w:pPr>
              <w:pStyle w:val="ConsPlusNormal"/>
              <w:jc w:val="center"/>
            </w:pPr>
            <w:r>
              <w:t>Дополнительные аналитические признаки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</w:pP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Имущество, полученное в пользование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 xml:space="preserve">Объекты основных </w:t>
            </w:r>
            <w:r>
              <w:lastRenderedPageBreak/>
              <w:t>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Недвижимое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Иное 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Иное 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</w:pP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Материальные ценности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Основные средства, принятые на ответственное хранение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Материальные запасы, принятые на ответственное хранение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</w:pP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Номенклатура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БСО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 xml:space="preserve">Бланки строгой отчетности (в </w:t>
            </w:r>
            <w:proofErr w:type="spellStart"/>
            <w:r>
              <w:t>усл</w:t>
            </w:r>
            <w:proofErr w:type="spellEnd"/>
            <w:r>
              <w:t>. ед.)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БСО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</w:pP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Договоры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</w:pP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Основные средства стоимостью до 3000 рублей включительно в эксплуатации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Нежилые помещения (здания и сооружения)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Машины и оборудование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Транспортные средства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Инвентарь производственный и хозяйственный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Биологические ресурсы - особо ценное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Прочие основные средства - особо ценное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Основные средства стоимостью до 3000 рублей включительно в эксплуатации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Нежилые помещения (здания и сооружения)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Инвестиционная недвижимость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Машины и оборудование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Транспортные средства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Инвентарь производственный и хозяйственный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Биологические ресурсы - особо ценное движимое имущество учреждения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  <w:tr w:rsidR="00A7137D" w:rsidTr="0032476E"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60" w:type="dxa"/>
          </w:tcPr>
          <w:p w:rsidR="00A7137D" w:rsidRDefault="00A7137D" w:rsidP="00D22228">
            <w:pPr>
              <w:pStyle w:val="ConsPlusNormal"/>
            </w:pPr>
            <w:r>
              <w:t>Прочие основные средства - иное движимое имущество</w:t>
            </w:r>
          </w:p>
        </w:tc>
        <w:tc>
          <w:tcPr>
            <w:tcW w:w="2239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Объекты основных средств</w:t>
            </w:r>
          </w:p>
        </w:tc>
        <w:tc>
          <w:tcPr>
            <w:tcW w:w="1710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ЦМО</w:t>
            </w:r>
          </w:p>
        </w:tc>
        <w:tc>
          <w:tcPr>
            <w:tcW w:w="1924" w:type="dxa"/>
          </w:tcPr>
          <w:p w:rsidR="00A7137D" w:rsidRDefault="00A7137D" w:rsidP="00D22228">
            <w:pPr>
              <w:pStyle w:val="ConsPlusNormal"/>
              <w:jc w:val="center"/>
            </w:pPr>
            <w:r>
              <w:t>-</w:t>
            </w:r>
          </w:p>
        </w:tc>
      </w:tr>
    </w:tbl>
    <w:p w:rsidR="00A7137D" w:rsidRDefault="00A7137D" w:rsidP="00A7137D">
      <w:pPr>
        <w:sectPr w:rsidR="00A7137D" w:rsidSect="0033621D">
          <w:pgSz w:w="16838" w:h="11905" w:orient="landscape" w:code="9"/>
          <w:pgMar w:top="567" w:right="1134" w:bottom="851" w:left="1134" w:header="0" w:footer="0" w:gutter="0"/>
          <w:cols w:space="720"/>
          <w:docGrid w:linePitch="326"/>
        </w:sectPr>
      </w:pPr>
    </w:p>
    <w:p w:rsidR="00A7137D" w:rsidRDefault="00A7137D" w:rsidP="00A7137D">
      <w:pPr>
        <w:pStyle w:val="ConsPlusNormal"/>
        <w:jc w:val="both"/>
      </w:pPr>
    </w:p>
    <w:p w:rsidR="00A7137D" w:rsidRDefault="00A7137D" w:rsidP="00A7137D">
      <w:pPr>
        <w:pStyle w:val="ConsPlusNormal"/>
        <w:ind w:firstLine="540"/>
        <w:jc w:val="both"/>
      </w:pPr>
      <w:r>
        <w:t>--------------------------------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bookmarkStart w:id="1" w:name="P4827"/>
      <w:bookmarkEnd w:id="1"/>
      <w:r>
        <w:t>&lt;*&gt; Если иное не установлено настоящими Едиными правилами: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Объекты основных средств - дополнительный аналитический признак бюджетного (бухгалтерского) учета, при котором учет осуществляется в разрезе инвентарных объектов основных средств.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Объекты нематериальных активов - дополнительный аналитический признак бюджетного (бухгалтерского) учета, при котором учет осуществляется в разрезе инвентарных объектов нематериальных активов.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Объекты финансовых вложений - дополнительный аналитический признак бюджетного (бухгалтерского) учета, при котором учет осуществляется в разрезе объектов финансовых вложений.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ЦМО - дополнительный аналитический признак бюджетного (бухгалтерского) учета, при котором учет осуществляется в разрезе центров материальной ответственности - совокупность места хранения и материально ответственного лица.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Номенклатура - дополнительный аналитический признак бюджетного (бухгалтерского) учета, при котором учет осуществляется в разрезе наименований товарно-материальных ценностей и оказываемых услуг.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Партии - дополнительный аналитический признак бюджетного (бухгалтерского) учета, при котором учет осуществляется в разрезе партий товара.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proofErr w:type="spellStart"/>
      <w:r>
        <w:t>ДопКл</w:t>
      </w:r>
      <w:proofErr w:type="spellEnd"/>
      <w:r>
        <w:t xml:space="preserve"> - дополнительный аналитический признак бюджетного (бухгалтерского) учета, при котором учет осуществляется в разрезе дополнительных кодов классификации по отдельным доходам и расходам.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БСО - дополнительный аналитический признак бюджетного (бухгалтерского) учета, при котором учет осуществляется в разрезе бланков строгой отчетности.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Виды строительства - дополнительный аналитический признак бюджетного (бухгалтерского) учета, при котором учет осуществляется в разрезе видов строительства.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Способы строительства - дополнительный аналитический признак бюджетного (бухгалтерского) учета, при котором учет осуществляется в разрезе способов строительства.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Направление деятельности - дополнительный аналитический признак бюджетного (бухгалтерского) учета, при котором учет осуществляется в разрезе учета финансовых результатов по каждому государственному (муниципальному) контракту, проекту, объекту учета затрат и т.д.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lastRenderedPageBreak/>
        <w:t>Виды затрат - дополнительный аналитический признак бюджетного (бухгалтерского) учета, при котором учет осуществляется в разрезе видов затрат.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Разделы лицевых счетов - дополнительный аналитический признак бюджетного (бухгалтерского) учета, при котором учет осуществляется в разрезе разделов лицевых счетов (видов финансового обеспечения).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Виды денежных документов - дополнительный аналитический признак бюджетного (бухгалтерского) учета, при котором учет осуществляется в разрезе видов денежных документов: оплаченные талоны на бензин, почтовые марки, проездные билеты и другие виды.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Контрагенты - дополнительный аналитический признак бюджетного (бухгалтерского) учета, при котором учет осуществляется в разрезе лиц, учреждений, организаций, связанных обязательствами по договору в гражданско-правовых отношениях.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Договоры - дополнительный аналитический признак бюджетного (бухгалтерского) учета, при котором учет осуществляется в разрезе договоров с контрагентами, то есть в разрезе фактов возникновения гражданско-правовых отношений.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Авансы подотчетным лицам - дополнительный аналитический признак бюджетного (бухгалтерского) учета, при котором учет осуществляется в разрезе выданных авансов подотчетному лицу, авансовых отчетов подотчетного лица.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 xml:space="preserve">Счета-фактуры полученные - дополнительный аналитический признак бюджетного (бухгалтерского) учета, при котором учет осуществляется в разрезе полученных от поставщиков (подрядчиков) счетов-фактур по приобретенным материальным ценностям, работам, услугам в соответствии с требованиями Налогового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Виды налогов и платежей - дополнительный аналитический признак бюджетного (бухгалтерского) учета, при котором учет осуществляется в разрезе каждого вида налога и платежа.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Дополнительный КЭК - дополнительный аналитический признак бюджетного (бухгалтерского) учета, при котором учет осуществляется по дополнительным кодам экономической классификации (по отдельным расходам).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Корреспонденты по внутренним расчетам - дополнительный аналитический признак бюджетного (бухгалтерского) учета, при котором учет осуществляется в разрезе корреспондентов по внутриведомственным расчетам.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Расходы будущих периодов - дополнительный аналитический признак бюджетного (бухгалтерского) учета, при котором учет осуществляется в разрезе наименований расходов будущих периодов.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Резервы и оценочные обязательства - дополнительный аналитический признак бюджетного (бухгалтерского) учета, при котором учет осуществляется в разрезе наименований резервов и оценочных обязательств.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lastRenderedPageBreak/>
        <w:t>Принятые обязательства - дополнительный аналитический признак бюджетного (бухгалтерского) учета, при котором учет осуществляется в разрезе принятых обязательств.</w:t>
      </w:r>
    </w:p>
    <w:p w:rsidR="00A7137D" w:rsidRDefault="00A7137D" w:rsidP="00A7137D">
      <w:pPr>
        <w:pStyle w:val="ConsPlusNormal"/>
        <w:spacing w:before="220"/>
        <w:ind w:firstLine="540"/>
        <w:jc w:val="both"/>
      </w:pPr>
      <w:r>
        <w:t>Извещения - дополнительный аналитический признак бюджетного (бухгалтерского) учета, при котором учет осуществляется в разрезе выданных (полученных) извещений, используемых при оформлении расчетов, возникающих по операциям приемки-передачи имущества, активов и обязательств между субъектами учета.</w:t>
      </w:r>
    </w:p>
    <w:p w:rsidR="00A7137D" w:rsidRDefault="00A7137D" w:rsidP="00A7137D">
      <w:pPr>
        <w:jc w:val="both"/>
      </w:pPr>
    </w:p>
    <w:sectPr w:rsidR="00A7137D" w:rsidSect="00A71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37D"/>
    <w:rsid w:val="00001594"/>
    <w:rsid w:val="00010332"/>
    <w:rsid w:val="00046E24"/>
    <w:rsid w:val="000A06DD"/>
    <w:rsid w:val="000F1943"/>
    <w:rsid w:val="00142761"/>
    <w:rsid w:val="00205C9E"/>
    <w:rsid w:val="00291BDA"/>
    <w:rsid w:val="0032476E"/>
    <w:rsid w:val="0033621D"/>
    <w:rsid w:val="003668C2"/>
    <w:rsid w:val="00646311"/>
    <w:rsid w:val="006535CB"/>
    <w:rsid w:val="00716738"/>
    <w:rsid w:val="007A589D"/>
    <w:rsid w:val="009D3F59"/>
    <w:rsid w:val="00A12FEF"/>
    <w:rsid w:val="00A7137D"/>
    <w:rsid w:val="00B32B49"/>
    <w:rsid w:val="00BE63DD"/>
    <w:rsid w:val="00C47267"/>
    <w:rsid w:val="00D02580"/>
    <w:rsid w:val="00D10FE2"/>
    <w:rsid w:val="00D22228"/>
    <w:rsid w:val="00E43F08"/>
    <w:rsid w:val="00E95CE3"/>
    <w:rsid w:val="00EB5055"/>
    <w:rsid w:val="00ED1E77"/>
    <w:rsid w:val="00F22E35"/>
    <w:rsid w:val="00F32F51"/>
    <w:rsid w:val="00FD1210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AF55CA2037FE361D7E1C1F9290012C00CD652024953F396DBD34370BF8BE08B89F8601652CA30D971F2BD022K1L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3F36-C53E-4275-9DA1-04C96DF3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28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2019-05-23T05:39:00Z</cp:lastPrinted>
  <dcterms:created xsi:type="dcterms:W3CDTF">2018-11-22T10:33:00Z</dcterms:created>
  <dcterms:modified xsi:type="dcterms:W3CDTF">2019-05-23T05:46:00Z</dcterms:modified>
</cp:coreProperties>
</file>