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92" w:rsidRPr="00C55C67" w:rsidRDefault="00266492" w:rsidP="00C55C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42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бязательная о</w:t>
      </w:r>
      <w:r w:rsidRPr="0026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тчетность </w:t>
      </w:r>
      <w:r w:rsidR="00742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работодателей </w:t>
      </w:r>
      <w:r w:rsidRPr="0026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</w:t>
      </w:r>
      <w:r w:rsidR="00742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 занятости населения</w:t>
      </w:r>
      <w:r w:rsidRPr="0026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66492" w:rsidRPr="00C55C67" w:rsidRDefault="00266492" w:rsidP="00C55C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 2023 года</w:t>
      </w:r>
    </w:p>
    <w:p w:rsidR="00266492" w:rsidRPr="00266492" w:rsidRDefault="00266492" w:rsidP="00C55C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документ, который регулирует отношения работодателя и службы занятости – </w:t>
      </w:r>
      <w:hyperlink r:id="rId5" w:history="1">
        <w:r w:rsidR="00533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r w:rsidRPr="00C55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акон </w:t>
        </w:r>
        <w:r w:rsidR="00533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«О занятости населения» </w:t>
        </w:r>
        <w:r w:rsidRPr="00C55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 1032-1 от 19.04.1991</w:t>
        </w:r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492" w:rsidRPr="00266492" w:rsidRDefault="00266492" w:rsidP="00C55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Он устанавливает основные формы отчетности, направляемые в </w:t>
      </w:r>
      <w:r w:rsidR="00C55C67" w:rsidRPr="00C55C67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занятости населения (Ц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ЗН) работодателями:</w:t>
      </w:r>
    </w:p>
    <w:p w:rsidR="00266492" w:rsidRPr="00266492" w:rsidRDefault="00266492" w:rsidP="00C55C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 банкротстве.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Сдают компании и ИП, в отношении которых был</w:t>
      </w:r>
      <w:r w:rsidR="00742B53">
        <w:rPr>
          <w:rFonts w:ascii="Times New Roman" w:eastAsia="Times New Roman" w:hAnsi="Times New Roman" w:cs="Times New Roman"/>
          <w:color w:val="000000"/>
          <w:sz w:val="24"/>
          <w:szCs w:val="24"/>
        </w:rPr>
        <w:t>а введена процедура банкротства, а также информацию, необходимую для осуществления деятельности по профессиональной реабилитации и содействию занятости инвалидов.</w:t>
      </w:r>
    </w:p>
    <w:p w:rsidR="00266492" w:rsidRPr="00266492" w:rsidRDefault="00266492" w:rsidP="00C55C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сдачи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ежемесячно начиная </w:t>
      </w:r>
      <w:proofErr w:type="gramStart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с даты начала</w:t>
      </w:r>
      <w:proofErr w:type="gramEnd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процедуры банкротства.</w:t>
      </w:r>
    </w:p>
    <w:p w:rsidR="00266492" w:rsidRPr="00266492" w:rsidRDefault="00266492" w:rsidP="00C55C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Информацию о созданных или выделенных рабочих местах для инвалидов в пределах установленной квоты.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 к представлению работодателями, численность сотрудников которых превышает 35 </w:t>
      </w:r>
      <w:r w:rsidRPr="00C55C6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ст. 13.2 </w:t>
      </w:r>
      <w:hyperlink r:id="rId6" w:history="1"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закона от 19.04.1991 № 1032-1</w:t>
        </w:r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сдачи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 – ежемесячно. Минтруд рекомендовал сдавать этот отчет до 10 числа месяца, следующего за отчетным периодом (</w:t>
      </w:r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 4.1 </w:t>
      </w:r>
      <w:hyperlink r:id="rId7" w:history="1"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приказа Минтруда от 26.01.2022 № 24</w:t>
        </w:r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492" w:rsidRPr="00266492" w:rsidRDefault="00266492" w:rsidP="00C55C67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Информацию о вакансиях.</w:t>
      </w:r>
    </w:p>
    <w:p w:rsidR="00266492" w:rsidRPr="00C55C67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Предоставляют ее организации и ИП, у которых в штате есть свободные рабочие места. 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сдачи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информации – ежемесячно. Минтруда рекомендовало сдавать этот отчет не позднее 3 рабочих дней после появления свободных мест и вакантных должностей. И не позднее следующего рабочего дня в случае замещения вакантного места (</w:t>
      </w:r>
      <w:hyperlink r:id="rId8" w:history="1"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письмо Минтруда от 30.05.2022 № 16-1/ООГ-2182</w:t>
        </w:r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492" w:rsidRPr="00266492" w:rsidRDefault="00266492" w:rsidP="00C55C67">
      <w:pPr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 о приеме/отказе в приеме безработного, направленного Центром занятости населения.</w:t>
      </w:r>
    </w:p>
    <w:p w:rsidR="00266492" w:rsidRPr="00266492" w:rsidRDefault="00266492" w:rsidP="00C55C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сдается в случае направления работодателю кандидата на вакантную должность. Кандидат предоставляет в компанию или ИП направление от службы занятости. Отчитаться нужно как о приеме, так и об отказе в приеме такого гражданина.</w:t>
      </w:r>
    </w:p>
    <w:p w:rsidR="00266492" w:rsidRPr="00266492" w:rsidRDefault="00266492" w:rsidP="00C55C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 ликвидации или сокращении численности (штата).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Обязателен</w:t>
      </w:r>
      <w:proofErr w:type="gramEnd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 представлению в случае ликвидации организации или закрытии ИП, если это повлечет расторжение трудовых договоров. Также его необходимо сдать при сокращении численности или штата. В остальных случаях работодатели сдавать его не должны.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направления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 сведений для организаций – за два месяца до указанных событий, для ИП – за две недели. При массовом сокращении численности или штата организации отчет нужно подать за 3 месяца (</w:t>
      </w:r>
      <w:proofErr w:type="spellStart"/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абз</w:t>
      </w:r>
      <w:proofErr w:type="spellEnd"/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1 п. 2 ст. 25 </w:t>
      </w:r>
      <w:hyperlink r:id="rId9" w:history="1"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закона № 1032-1</w:t>
        </w:r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492" w:rsidRPr="00266492" w:rsidRDefault="00266492" w:rsidP="00C55C67">
      <w:pPr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 введения режима неполного дня.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сдают работодатели, которые ввели для своих сотрудников режим сокращенного рабочего дня или недели. Если режим неполного дня или недели установлен по просьбе сотрудника или по соглашению сторон, то уведомлять </w:t>
      </w:r>
      <w:r w:rsidRPr="00C55C67">
        <w:rPr>
          <w:rFonts w:ascii="Times New Roman" w:eastAsia="Times New Roman" w:hAnsi="Times New Roman" w:cs="Times New Roman"/>
          <w:color w:val="000000"/>
          <w:sz w:val="24"/>
          <w:szCs w:val="24"/>
        </w:rPr>
        <w:t>ЦЗН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 нужно (</w:t>
      </w:r>
      <w:hyperlink r:id="rId10" w:history="1"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письмо </w:t>
        </w:r>
        <w:proofErr w:type="spellStart"/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Роструда</w:t>
        </w:r>
        <w:proofErr w:type="spellEnd"/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от 17.05.2011 № 1329-6-1</w:t>
        </w:r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492" w:rsidRPr="00266492" w:rsidRDefault="00266492" w:rsidP="00C55C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направления отчета – в течение трех рабочих дней </w:t>
      </w:r>
      <w:proofErr w:type="gramStart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с даты принятия</w:t>
      </w:r>
      <w:proofErr w:type="gramEnd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решения (</w:t>
      </w:r>
      <w:proofErr w:type="spellStart"/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абз</w:t>
      </w:r>
      <w:proofErr w:type="spellEnd"/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2 п. 2 ст. 25 </w:t>
      </w:r>
      <w:hyperlink r:id="rId11" w:history="1"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закона № 1032-1</w:t>
        </w:r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492" w:rsidRPr="00266492" w:rsidRDefault="00266492" w:rsidP="00C55C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 введении режима простоя (приостановки производства).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Сдают все работодателями, которые ввели режим простоя или приостановки производства. При этом не имеет значения основание для принятия такого решения.</w:t>
      </w:r>
    </w:p>
    <w:p w:rsidR="00266492" w:rsidRPr="00266492" w:rsidRDefault="00266492" w:rsidP="00C55C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направления сведений – не позднее трех дней </w:t>
      </w:r>
      <w:proofErr w:type="gramStart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с даты принятия</w:t>
      </w:r>
      <w:proofErr w:type="gramEnd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(</w:t>
      </w:r>
      <w:proofErr w:type="spellStart"/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абз</w:t>
      </w:r>
      <w:proofErr w:type="spellEnd"/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2 п. 2 ст. 25 </w:t>
      </w:r>
      <w:hyperlink r:id="rId12" w:history="1"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закона № 1032-1</w:t>
        </w:r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492" w:rsidRPr="00266492" w:rsidRDefault="00266492" w:rsidP="00C55C6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 организации дистанционной (удаленной) работы.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сдают компании или ИП, которые решили перевести своих сотрудников на удаленную (дистанционную работу).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Отдельного </w:t>
      </w:r>
      <w:r w:rsidRPr="00C55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срока 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сдачи этого отчета не установлено. Но по аналогии можно применить срок для сдачи отчета о простое – не позднее трех дней </w:t>
      </w:r>
      <w:proofErr w:type="gramStart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с даты принятия</w:t>
      </w:r>
      <w:proofErr w:type="gramEnd"/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(</w:t>
      </w:r>
      <w:proofErr w:type="spellStart"/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абз</w:t>
      </w:r>
      <w:proofErr w:type="spellEnd"/>
      <w:r w:rsidRPr="00C55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2 п. 2 ст. 25 </w:t>
      </w:r>
      <w:hyperlink r:id="rId13" w:history="1"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закона № 1032-1</w:t>
        </w:r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492" w:rsidRPr="00266492" w:rsidRDefault="00266492" w:rsidP="00C55C67">
      <w:pPr>
        <w:shd w:val="clear" w:color="auto" w:fill="FFFFFF"/>
        <w:spacing w:before="24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сдавать отчетность в службу занятости</w:t>
      </w:r>
    </w:p>
    <w:p w:rsidR="00266492" w:rsidRPr="00266492" w:rsidRDefault="00266492" w:rsidP="00C55C6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 портал «Работа России».</w:t>
      </w:r>
    </w:p>
    <w:p w:rsidR="00266492" w:rsidRPr="00266492" w:rsidRDefault="00266492" w:rsidP="00C55C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за непредставление сведений в </w:t>
      </w: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ЦЗН</w:t>
      </w:r>
    </w:p>
    <w:p w:rsidR="00266492" w:rsidRPr="00266492" w:rsidRDefault="00266492" w:rsidP="00C5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За непредставление обязательной отчетности в службу занятости работодатель может быть привлечен к ответственности в виде предупреждения или штрафа в размере (</w:t>
      </w:r>
      <w:hyperlink r:id="rId14" w:history="1"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ст. 19.7 </w:t>
        </w:r>
        <w:proofErr w:type="spellStart"/>
        <w:r w:rsidRPr="00C55C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КоАП</w:t>
        </w:r>
        <w:proofErr w:type="spellEnd"/>
      </w:hyperlink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266492" w:rsidRPr="00266492" w:rsidRDefault="00266492" w:rsidP="00C55C6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 300 до 500 руб.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 – для должностных лиц организации или ИП.</w:t>
      </w:r>
    </w:p>
    <w:p w:rsidR="00266492" w:rsidRDefault="00266492" w:rsidP="00C55C6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 3 000 до 5 000 руб.</w:t>
      </w:r>
      <w:r w:rsidRPr="00266492">
        <w:rPr>
          <w:rFonts w:ascii="Times New Roman" w:eastAsia="Times New Roman" w:hAnsi="Times New Roman" w:cs="Times New Roman"/>
          <w:color w:val="000000"/>
          <w:sz w:val="24"/>
          <w:szCs w:val="24"/>
        </w:rPr>
        <w:t> – для юридических лиц.</w:t>
      </w:r>
    </w:p>
    <w:p w:rsidR="00742B53" w:rsidRDefault="00742B53" w:rsidP="00742B5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всем вопросам о сдаче отчетности можно обратиться в Центр занятости населения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Верещагино, ул. Ленина, 16а</w:t>
      </w:r>
    </w:p>
    <w:p w:rsidR="00742B53" w:rsidRPr="00266492" w:rsidRDefault="00742B53" w:rsidP="00742B5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3-32-73 кадровый консультант Черемных Ирина Викторовна</w:t>
      </w:r>
    </w:p>
    <w:p w:rsidR="00195C57" w:rsidRPr="00C55C67" w:rsidRDefault="00195C57">
      <w:pPr>
        <w:rPr>
          <w:rFonts w:ascii="Times New Roman" w:hAnsi="Times New Roman" w:cs="Times New Roman"/>
          <w:sz w:val="24"/>
          <w:szCs w:val="24"/>
        </w:rPr>
      </w:pPr>
    </w:p>
    <w:sectPr w:rsidR="00195C57" w:rsidRPr="00C55C67" w:rsidSect="0031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7EC"/>
    <w:multiLevelType w:val="multilevel"/>
    <w:tmpl w:val="281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2DC4"/>
    <w:multiLevelType w:val="multilevel"/>
    <w:tmpl w:val="F32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27518"/>
    <w:multiLevelType w:val="multilevel"/>
    <w:tmpl w:val="C89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633EF"/>
    <w:multiLevelType w:val="multilevel"/>
    <w:tmpl w:val="1D9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748D7"/>
    <w:multiLevelType w:val="multilevel"/>
    <w:tmpl w:val="503E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44C82"/>
    <w:multiLevelType w:val="multilevel"/>
    <w:tmpl w:val="9638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410E8"/>
    <w:multiLevelType w:val="multilevel"/>
    <w:tmpl w:val="A386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729FA"/>
    <w:multiLevelType w:val="multilevel"/>
    <w:tmpl w:val="510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93299"/>
    <w:multiLevelType w:val="multilevel"/>
    <w:tmpl w:val="95D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64D8C"/>
    <w:multiLevelType w:val="multilevel"/>
    <w:tmpl w:val="021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54D3E"/>
    <w:multiLevelType w:val="multilevel"/>
    <w:tmpl w:val="025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E7EB7"/>
    <w:multiLevelType w:val="multilevel"/>
    <w:tmpl w:val="2ED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D48F9"/>
    <w:multiLevelType w:val="multilevel"/>
    <w:tmpl w:val="57E4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37193"/>
    <w:multiLevelType w:val="multilevel"/>
    <w:tmpl w:val="EF8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31E9E"/>
    <w:multiLevelType w:val="multilevel"/>
    <w:tmpl w:val="B15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6492"/>
    <w:rsid w:val="00195C57"/>
    <w:rsid w:val="00266492"/>
    <w:rsid w:val="00313E9F"/>
    <w:rsid w:val="00533174"/>
    <w:rsid w:val="00742B53"/>
    <w:rsid w:val="0089670A"/>
    <w:rsid w:val="00C5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9F"/>
  </w:style>
  <w:style w:type="paragraph" w:styleId="2">
    <w:name w:val="heading 2"/>
    <w:basedOn w:val="a"/>
    <w:link w:val="20"/>
    <w:uiPriority w:val="9"/>
    <w:qFormat/>
    <w:rsid w:val="00266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4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6492"/>
    <w:rPr>
      <w:color w:val="0000FF"/>
      <w:u w:val="single"/>
    </w:rPr>
  </w:style>
  <w:style w:type="character" w:styleId="a5">
    <w:name w:val="Strong"/>
    <w:basedOn w:val="a0"/>
    <w:uiPriority w:val="22"/>
    <w:qFormat/>
    <w:rsid w:val="00266492"/>
    <w:rPr>
      <w:b/>
      <w:bCs/>
    </w:rPr>
  </w:style>
  <w:style w:type="character" w:styleId="a6">
    <w:name w:val="Emphasis"/>
    <w:basedOn w:val="a0"/>
    <w:uiPriority w:val="20"/>
    <w:qFormat/>
    <w:rsid w:val="002664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0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77478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35873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7778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530187/" TargetMode="External"/><Relationship Id="rId13" Type="http://schemas.openxmlformats.org/officeDocument/2006/relationships/hyperlink" Target="https://www.klerk.ru/doc/5644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rk.ru/doc/538813/" TargetMode="External"/><Relationship Id="rId12" Type="http://schemas.openxmlformats.org/officeDocument/2006/relationships/hyperlink" Target="https://www.klerk.ru/doc/5644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lerk.ru/doc/564400/" TargetMode="External"/><Relationship Id="rId11" Type="http://schemas.openxmlformats.org/officeDocument/2006/relationships/hyperlink" Target="https://www.klerk.ru/doc/564400/" TargetMode="External"/><Relationship Id="rId5" Type="http://schemas.openxmlformats.org/officeDocument/2006/relationships/hyperlink" Target="https://www.klerk.ru/doc/5644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lerk.ru/doc/5644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rk.ru/doc/564400/" TargetMode="External"/><Relationship Id="rId14" Type="http://schemas.openxmlformats.org/officeDocument/2006/relationships/hyperlink" Target="https://www.klerk.ru/cdoc/kodeks-ob-administrativnyh-pravonaruseniah-koap-rf/stata-197-nepredstavlenie-svedenij-inform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7</cp:revision>
  <cp:lastPrinted>2023-05-26T09:33:00Z</cp:lastPrinted>
  <dcterms:created xsi:type="dcterms:W3CDTF">2023-05-26T09:16:00Z</dcterms:created>
  <dcterms:modified xsi:type="dcterms:W3CDTF">2023-05-31T07:29:00Z</dcterms:modified>
</cp:coreProperties>
</file>